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10B05700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407B4">
        <w:rPr>
          <w:rFonts w:ascii="Arial" w:hAnsi="Arial" w:cs="Arial"/>
          <w:i w:val="0"/>
          <w:sz w:val="22"/>
          <w:szCs w:val="22"/>
        </w:rPr>
        <w:t>Pro Středočeský kraj a Hlavní město Praha</w:t>
      </w:r>
    </w:p>
    <w:p w14:paraId="689A6A53" w14:textId="739F24B2" w:rsidR="00812ED3" w:rsidRPr="00E93F51" w:rsidRDefault="00812ED3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5407B4">
        <w:rPr>
          <w:rFonts w:ascii="Arial" w:hAnsi="Arial" w:cs="Arial"/>
          <w:i w:val="0"/>
          <w:sz w:val="22"/>
          <w:szCs w:val="22"/>
        </w:rPr>
        <w:t xml:space="preserve">Nám Winstona Churchilla 1800/3, 130 00 Praha </w:t>
      </w:r>
      <w:r w:rsidR="00091C94">
        <w:rPr>
          <w:rFonts w:ascii="Arial" w:hAnsi="Arial" w:cs="Arial"/>
          <w:i w:val="0"/>
          <w:sz w:val="22"/>
          <w:szCs w:val="22"/>
        </w:rPr>
        <w:t>3 -</w:t>
      </w:r>
      <w:r w:rsidR="005407B4">
        <w:rPr>
          <w:rFonts w:ascii="Arial" w:hAnsi="Arial" w:cs="Arial"/>
          <w:i w:val="0"/>
          <w:sz w:val="22"/>
          <w:szCs w:val="22"/>
        </w:rPr>
        <w:t>Žižkov</w:t>
      </w:r>
    </w:p>
    <w:p w14:paraId="47549D99" w14:textId="6C8E6A23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5407B4">
        <w:rPr>
          <w:rFonts w:ascii="Arial" w:hAnsi="Arial" w:cs="Arial"/>
          <w:i w:val="0"/>
          <w:sz w:val="22"/>
          <w:szCs w:val="22"/>
        </w:rPr>
        <w:t>Rakovník</w:t>
      </w:r>
    </w:p>
    <w:p w14:paraId="08A5439C" w14:textId="6752BFA1" w:rsidR="00812ED3" w:rsidRPr="00E93F51" w:rsidRDefault="005407B4" w:rsidP="00384B0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Lubenská 2250, 269 01 Rakovník</w:t>
      </w:r>
    </w:p>
    <w:p w14:paraId="142ECB2E" w14:textId="28A1F35E" w:rsidR="00EA21B7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="00091C94" w:rsidRPr="00E93F51">
        <w:rPr>
          <w:rFonts w:ascii="Arial" w:hAnsi="Arial" w:cs="Arial"/>
          <w:sz w:val="22"/>
          <w:szCs w:val="22"/>
        </w:rPr>
        <w:t>Zastoupený</w:t>
      </w:r>
      <w:r w:rsidR="00091C94">
        <w:rPr>
          <w:rFonts w:ascii="Arial" w:hAnsi="Arial" w:cs="Arial"/>
          <w:sz w:val="22"/>
          <w:szCs w:val="22"/>
        </w:rPr>
        <w:t>: Ing.</w:t>
      </w:r>
      <w:r w:rsidR="005407B4">
        <w:rPr>
          <w:rFonts w:ascii="Arial" w:hAnsi="Arial" w:cs="Arial"/>
          <w:sz w:val="22"/>
          <w:szCs w:val="22"/>
        </w:rPr>
        <w:t xml:space="preserve"> Silvií Römerovou, vedoucí pobočky Rakovník</w:t>
      </w:r>
    </w:p>
    <w:p w14:paraId="25395487" w14:textId="77777777" w:rsidR="005407B4" w:rsidRPr="00E93F51" w:rsidRDefault="005407B4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</w:p>
    <w:p w14:paraId="623559F5" w14:textId="5D828741" w:rsidR="00EA21B7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091C94">
        <w:rPr>
          <w:rFonts w:ascii="Arial" w:hAnsi="Arial" w:cs="Arial"/>
          <w:sz w:val="22"/>
          <w:szCs w:val="22"/>
        </w:rPr>
        <w:t>Ing. Silvie</w:t>
      </w:r>
      <w:r w:rsidR="005407B4">
        <w:rPr>
          <w:rFonts w:ascii="Arial" w:hAnsi="Arial" w:cs="Arial"/>
          <w:sz w:val="22"/>
          <w:szCs w:val="22"/>
        </w:rPr>
        <w:t xml:space="preserve"> Römerová, vedoucí pobočky</w:t>
      </w:r>
    </w:p>
    <w:p w14:paraId="163C6030" w14:textId="77777777" w:rsidR="005407B4" w:rsidRPr="00E93F51" w:rsidRDefault="005407B4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33C8F953" w14:textId="51F0EFFE" w:rsidR="00EA21B7" w:rsidRPr="00E93F51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091C94">
        <w:rPr>
          <w:rFonts w:ascii="Arial" w:hAnsi="Arial" w:cs="Arial"/>
          <w:snapToGrid w:val="0"/>
          <w:sz w:val="22"/>
          <w:szCs w:val="22"/>
        </w:rPr>
        <w:t>Ing. Michal Hájek</w:t>
      </w:r>
      <w:r w:rsidR="005407B4">
        <w:rPr>
          <w:rFonts w:ascii="Arial" w:hAnsi="Arial" w:cs="Arial"/>
          <w:snapToGrid w:val="0"/>
          <w:sz w:val="22"/>
          <w:szCs w:val="22"/>
        </w:rPr>
        <w:t xml:space="preserve"> Pobočka Rakovní</w:t>
      </w:r>
      <w:r w:rsidR="00091C94">
        <w:rPr>
          <w:rFonts w:ascii="Arial" w:hAnsi="Arial" w:cs="Arial"/>
          <w:snapToGrid w:val="0"/>
          <w:sz w:val="22"/>
          <w:szCs w:val="22"/>
        </w:rPr>
        <w:t>k</w:t>
      </w:r>
    </w:p>
    <w:p w14:paraId="4011BF84" w14:textId="08F941B3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1EDE61E8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A143A2">
        <w:rPr>
          <w:rFonts w:ascii="Arial" w:hAnsi="Arial" w:cs="Arial"/>
          <w:sz w:val="22"/>
          <w:szCs w:val="22"/>
        </w:rPr>
        <w:t> </w:t>
      </w:r>
      <w:r w:rsidR="005407B4">
        <w:rPr>
          <w:rFonts w:ascii="Arial" w:hAnsi="Arial" w:cs="Arial"/>
          <w:sz w:val="22"/>
          <w:szCs w:val="22"/>
        </w:rPr>
        <w:t>725</w:t>
      </w:r>
      <w:r w:rsidR="00A143A2">
        <w:rPr>
          <w:rFonts w:ascii="Arial" w:hAnsi="Arial" w:cs="Arial"/>
          <w:sz w:val="22"/>
          <w:szCs w:val="22"/>
        </w:rPr>
        <w:t> </w:t>
      </w:r>
      <w:r w:rsidR="005407B4">
        <w:rPr>
          <w:rFonts w:ascii="Arial" w:hAnsi="Arial" w:cs="Arial"/>
          <w:sz w:val="22"/>
          <w:szCs w:val="22"/>
        </w:rPr>
        <w:t>949</w:t>
      </w:r>
      <w:r w:rsidR="00A143A2">
        <w:rPr>
          <w:rFonts w:ascii="Arial" w:hAnsi="Arial" w:cs="Arial"/>
          <w:sz w:val="22"/>
          <w:szCs w:val="22"/>
        </w:rPr>
        <w:t xml:space="preserve"> </w:t>
      </w:r>
      <w:r w:rsidR="005407B4">
        <w:rPr>
          <w:rFonts w:ascii="Arial" w:hAnsi="Arial" w:cs="Arial"/>
          <w:sz w:val="22"/>
          <w:szCs w:val="22"/>
        </w:rPr>
        <w:t>942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646ED653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A143A2">
        <w:rPr>
          <w:rFonts w:ascii="Arial" w:hAnsi="Arial" w:cs="Arial"/>
          <w:sz w:val="22"/>
          <w:szCs w:val="22"/>
        </w:rPr>
        <w:t>rakovnik.pk@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EEFAAA7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F011F">
        <w:rPr>
          <w:rStyle w:val="Siln"/>
          <w:rFonts w:ascii="Arial" w:hAnsi="Arial" w:cs="Arial"/>
          <w:b w:val="0"/>
          <w:sz w:val="22"/>
          <w:szCs w:val="22"/>
        </w:rPr>
        <w:t>spis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2F011F">
        <w:rPr>
          <w:rStyle w:val="Siln"/>
          <w:rFonts w:ascii="Arial" w:hAnsi="Arial" w:cs="Arial"/>
          <w:b w:val="0"/>
          <w:sz w:val="22"/>
          <w:szCs w:val="22"/>
        </w:rPr>
        <w:t xml:space="preserve"> zn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2F011F" w:rsidRPr="002F011F">
        <w:rPr>
          <w:rStyle w:val="Siln"/>
          <w:rFonts w:ascii="Arial" w:hAnsi="Arial" w:cs="Arial"/>
          <w:b w:val="0"/>
          <w:bCs w:val="0"/>
          <w:sz w:val="22"/>
          <w:szCs w:val="22"/>
        </w:rPr>
        <w:t>SP8991/2022-537213</w:t>
      </w:r>
      <w:r w:rsidR="002F011F"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A143A2">
        <w:rPr>
          <w:rFonts w:ascii="Arial" w:hAnsi="Arial" w:cs="Arial"/>
          <w:b/>
          <w:sz w:val="22"/>
          <w:szCs w:val="22"/>
        </w:rPr>
        <w:t>Ruda u Nového Strašecí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091C94">
        <w:rPr>
          <w:rFonts w:ascii="Arial" w:hAnsi="Arial" w:cs="Arial"/>
          <w:sz w:val="22"/>
          <w:szCs w:val="22"/>
        </w:rPr>
        <w:t xml:space="preserve">jednoduché </w:t>
      </w:r>
      <w:r w:rsidR="00091C94" w:rsidRPr="00E93F51">
        <w:rPr>
          <w:rFonts w:ascii="Arial" w:hAnsi="Arial" w:cs="Arial"/>
          <w:sz w:val="22"/>
          <w:szCs w:val="22"/>
        </w:rPr>
        <w:t>pozemkové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A143A2">
        <w:rPr>
          <w:rFonts w:ascii="Arial" w:hAnsi="Arial" w:cs="Arial"/>
          <w:sz w:val="22"/>
          <w:szCs w:val="22"/>
        </w:rPr>
        <w:t>Ruda u Nového Strašecí.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480C040B" w:rsidR="008325A1" w:rsidRPr="00E93F51" w:rsidRDefault="008325A1" w:rsidP="00A143A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A143A2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A143A2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A85C66" w:rsidRPr="00A143A2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C404C54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143A2" w:rsidRPr="002F011F">
        <w:rPr>
          <w:rStyle w:val="Siln"/>
          <w:rFonts w:ascii="Arial" w:hAnsi="Arial" w:cs="Arial"/>
          <w:bCs w:val="0"/>
          <w:sz w:val="22"/>
          <w:szCs w:val="22"/>
        </w:rPr>
        <w:t>15.11.2022</w:t>
      </w:r>
      <w:r w:rsidR="002B0933" w:rsidRPr="002F011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24981D19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A143A2">
        <w:rPr>
          <w:rStyle w:val="Siln"/>
          <w:rFonts w:ascii="Arial" w:hAnsi="Arial" w:cs="Arial"/>
          <w:b w:val="0"/>
          <w:sz w:val="22"/>
          <w:szCs w:val="22"/>
        </w:rPr>
        <w:t xml:space="preserve">k.ú. Ruda u Nového </w:t>
      </w:r>
      <w:r w:rsidR="00DF1B78">
        <w:rPr>
          <w:rStyle w:val="Siln"/>
          <w:rFonts w:ascii="Arial" w:hAnsi="Arial" w:cs="Arial"/>
          <w:b w:val="0"/>
          <w:sz w:val="22"/>
          <w:szCs w:val="22"/>
        </w:rPr>
        <w:t>Strašecí, polní cesty C1, C3, C5, C6, C7, C18, C20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69F1E1AC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DF1B78" w:rsidRPr="002F011F">
        <w:rPr>
          <w:rFonts w:ascii="Arial" w:hAnsi="Arial" w:cs="Arial"/>
          <w:bCs/>
          <w:i w:val="0"/>
          <w:sz w:val="22"/>
          <w:szCs w:val="22"/>
        </w:rPr>
        <w:t>15.11.2022.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53B0DE2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F011F">
        <w:rPr>
          <w:rStyle w:val="Siln"/>
          <w:rFonts w:ascii="Arial" w:hAnsi="Arial" w:cs="Arial"/>
          <w:b w:val="0"/>
          <w:sz w:val="22"/>
          <w:szCs w:val="22"/>
        </w:rPr>
        <w:t>od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36787054" w14:textId="77777777" w:rsidR="002F011F" w:rsidRPr="00EA29FD" w:rsidRDefault="002F011F" w:rsidP="002F011F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</w:t>
      </w:r>
      <w:r w:rsidRPr="00C324AD">
        <w:rPr>
          <w:rFonts w:ascii="Arial" w:hAnsi="Arial" w:cs="Arial"/>
          <w:bCs/>
          <w:sz w:val="22"/>
          <w:szCs w:val="22"/>
          <w:lang w:val="en-US"/>
        </w:rPr>
        <w:t>2 500 Kč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734408C8" w14:textId="47350249" w:rsidR="00A661E7" w:rsidRPr="00862A03" w:rsidRDefault="00A661E7" w:rsidP="00862A03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3BB0803D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2F011F">
        <w:rPr>
          <w:rFonts w:ascii="Arial" w:hAnsi="Arial" w:cs="Arial"/>
          <w:bCs/>
          <w:sz w:val="22"/>
          <w:szCs w:val="22"/>
        </w:rPr>
        <w:t xml:space="preserve">50 000,-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A9AC0D7" w14:textId="77777777" w:rsidR="00DA3F5E" w:rsidRPr="00E93F51" w:rsidRDefault="00DA3F5E" w:rsidP="00862A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44E398DB" w14:textId="7EEEEE65" w:rsidR="00E5320A" w:rsidRPr="00E5320A" w:rsidRDefault="00E5320A" w:rsidP="00E5320A">
      <w:pPr>
        <w:pStyle w:val="Odstavecseseznamem"/>
        <w:numPr>
          <w:ilvl w:val="0"/>
          <w:numId w:val="11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5320A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Smlouva je vyhotovena ve čtyřech stejnopisech, z toho ve dvou vyhotoveních pro objednatele a ve dvou vyhotovení pro zhotovitele, z n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ichž každý má povahu originálu; a příloha č. 1 ve dvou vyhotovení.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0129368D" w14:textId="77777777" w:rsidR="00433AC4" w:rsidRPr="00E93F51" w:rsidRDefault="00433AC4" w:rsidP="00862A03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1D941ED8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F011F">
              <w:rPr>
                <w:rFonts w:ascii="Arial" w:hAnsi="Arial" w:cs="Arial"/>
                <w:b w:val="0"/>
                <w:i w:val="0"/>
                <w:sz w:val="22"/>
                <w:szCs w:val="22"/>
              </w:rPr>
              <w:t>Rakovníku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10D3E05" w14:textId="77777777" w:rsidR="0029141F" w:rsidRDefault="002F01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lastRenderedPageBreak/>
              <w:t>Ing. Silvie Römerová</w:t>
            </w:r>
          </w:p>
          <w:p w14:paraId="3FFD21F9" w14:textId="6B1CA73B" w:rsidR="002F011F" w:rsidRPr="00E93F51" w:rsidRDefault="002F01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vedoucí Pobočky Rakovník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0B60B741" w14:textId="753B9E6E" w:rsidR="00AF35CF" w:rsidRPr="00E93F51" w:rsidRDefault="00AF35CF" w:rsidP="002F011F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5AFAD9AC" w14:textId="45168D22" w:rsidR="00AF35CF" w:rsidRPr="00E93F51" w:rsidRDefault="00AF35CF" w:rsidP="002F011F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59A31CEF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5A4C95" w:rsidRPr="00E93F51" w:rsidSect="002F011F">
      <w:headerReference w:type="default" r:id="rId15"/>
      <w:footerReference w:type="even" r:id="rId16"/>
      <w:footerReference w:type="default" r:id="rId17"/>
      <w:pgSz w:w="11910" w:h="16840"/>
      <w:pgMar w:top="1134" w:right="1162" w:bottom="85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31D01" w14:textId="77777777" w:rsidR="00AA5502" w:rsidRDefault="00AA5502">
      <w:r>
        <w:separator/>
      </w:r>
    </w:p>
  </w:endnote>
  <w:endnote w:type="continuationSeparator" w:id="0">
    <w:p w14:paraId="43069568" w14:textId="77777777" w:rsidR="00AA5502" w:rsidRDefault="00AA5502">
      <w:r>
        <w:continuationSeparator/>
      </w:r>
    </w:p>
  </w:endnote>
  <w:endnote w:type="continuationNotice" w:id="1">
    <w:p w14:paraId="537DFCAD" w14:textId="77777777" w:rsidR="00AA5502" w:rsidRDefault="00AA5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69743" w14:textId="77777777" w:rsidR="00AA5502" w:rsidRDefault="00AA5502">
      <w:r>
        <w:separator/>
      </w:r>
    </w:p>
  </w:footnote>
  <w:footnote w:type="continuationSeparator" w:id="0">
    <w:p w14:paraId="3267FC7D" w14:textId="77777777" w:rsidR="00AA5502" w:rsidRDefault="00AA5502">
      <w:r>
        <w:continuationSeparator/>
      </w:r>
    </w:p>
  </w:footnote>
  <w:footnote w:type="continuationNotice" w:id="1">
    <w:p w14:paraId="02FC7ED0" w14:textId="77777777" w:rsidR="00AA5502" w:rsidRDefault="00AA55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8D9AC60E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9AC4F262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1C94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62E9"/>
    <w:rsid w:val="002D7BE9"/>
    <w:rsid w:val="002E7E02"/>
    <w:rsid w:val="002F011F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07B4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C1C37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2A03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43A2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A5502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E5CCB"/>
    <w:rsid w:val="00DF07BB"/>
    <w:rsid w:val="00DF1B78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4209</Words>
  <Characters>25110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Šlajchrt Jan Ing.</cp:lastModifiedBy>
  <cp:revision>7</cp:revision>
  <cp:lastPrinted>2017-03-30T06:05:00Z</cp:lastPrinted>
  <dcterms:created xsi:type="dcterms:W3CDTF">2022-09-01T06:28:00Z</dcterms:created>
  <dcterms:modified xsi:type="dcterms:W3CDTF">2022-09-13T06:03:00Z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